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40" w:rsidRDefault="006F1840" w:rsidP="009F69E7">
      <w:pPr>
        <w:spacing w:after="0" w:line="259" w:lineRule="auto"/>
        <w:ind w:left="0" w:right="0" w:firstLine="0"/>
        <w:jc w:val="left"/>
        <w:rPr>
          <w:sz w:val="20"/>
        </w:rPr>
      </w:pPr>
    </w:p>
    <w:p w:rsidR="006F1840" w:rsidRDefault="006F1840" w:rsidP="009F69E7">
      <w:pPr>
        <w:spacing w:after="0" w:line="259" w:lineRule="auto"/>
        <w:ind w:left="5036" w:right="0" w:firstLine="724"/>
        <w:jc w:val="left"/>
        <w:rPr>
          <w:sz w:val="20"/>
        </w:rPr>
      </w:pPr>
      <w:r>
        <w:rPr>
          <w:noProof/>
        </w:rPr>
        <w:drawing>
          <wp:inline distT="0" distB="0" distL="0" distR="0" wp14:anchorId="555DAD17" wp14:editId="05C61F21">
            <wp:extent cx="2306955" cy="657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s_green_stra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89" cy="66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8B2" w:rsidRDefault="002B2806" w:rsidP="009F69E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Executive Support Letter </w:t>
      </w:r>
    </w:p>
    <w:p w:rsidR="00E133CB" w:rsidRDefault="00A229E1" w:rsidP="00E133CB">
      <w:pPr>
        <w:spacing w:after="0" w:line="256" w:lineRule="auto"/>
        <w:ind w:left="-4" w:right="0"/>
        <w:jc w:val="left"/>
      </w:pPr>
      <w:r>
        <w:rPr>
          <w:sz w:val="20"/>
        </w:rPr>
        <w:t>Protected. Version 1. Jan.19</w:t>
      </w:r>
      <w:r w:rsidR="00E133CB">
        <w:rPr>
          <w:sz w:val="24"/>
        </w:rPr>
        <w:t xml:space="preserve"> </w:t>
      </w:r>
    </w:p>
    <w:p w:rsidR="005618B2" w:rsidRDefault="005618B2" w:rsidP="006F1840">
      <w:pPr>
        <w:spacing w:after="0" w:line="259" w:lineRule="auto"/>
        <w:ind w:left="1" w:right="0" w:firstLine="0"/>
        <w:jc w:val="left"/>
      </w:pPr>
    </w:p>
    <w:p w:rsidR="005618B2" w:rsidRPr="009F69E7" w:rsidRDefault="002B2806">
      <w:pPr>
        <w:pStyle w:val="Heading1"/>
        <w:rPr>
          <w:sz w:val="24"/>
          <w:szCs w:val="24"/>
        </w:rPr>
      </w:pPr>
      <w:r w:rsidRPr="009F69E7">
        <w:rPr>
          <w:sz w:val="24"/>
          <w:szCs w:val="24"/>
        </w:rPr>
        <w:t xml:space="preserve">Information Security within Futures </w:t>
      </w:r>
    </w:p>
    <w:p w:rsidR="005618B2" w:rsidRDefault="002B2806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5618B2" w:rsidRPr="009F69E7" w:rsidRDefault="002B2806">
      <w:pPr>
        <w:ind w:left="-2" w:right="0"/>
      </w:pPr>
      <w:r w:rsidRPr="009F69E7">
        <w:t xml:space="preserve">As a modern, forward-looking business, Futures recognises at senior levels the need to ensure that its business operates smoothly and without interruption for the benefit of its customers, shareholders and other stakeholders. </w:t>
      </w:r>
    </w:p>
    <w:p w:rsidR="005618B2" w:rsidRPr="009F69E7" w:rsidRDefault="002B2806">
      <w:pPr>
        <w:spacing w:after="0" w:line="259" w:lineRule="auto"/>
        <w:ind w:left="1" w:right="0" w:firstLine="0"/>
        <w:jc w:val="left"/>
      </w:pPr>
      <w:r w:rsidRPr="009F69E7">
        <w:t xml:space="preserve"> </w:t>
      </w:r>
    </w:p>
    <w:p w:rsidR="005618B2" w:rsidRPr="009F69E7" w:rsidRDefault="002B2806">
      <w:pPr>
        <w:ind w:left="-2" w:right="0"/>
      </w:pPr>
      <w:r w:rsidRPr="009F69E7">
        <w:t xml:space="preserve">To provide such a level of continuous operation, Futures has implemented an Information Security Management System (ISMS) in line with the International Standard for Information Security, ISO/IEC 27001. </w:t>
      </w:r>
    </w:p>
    <w:p w:rsidR="005618B2" w:rsidRPr="009F69E7" w:rsidRDefault="002B2806">
      <w:pPr>
        <w:spacing w:after="0" w:line="259" w:lineRule="auto"/>
        <w:ind w:left="1" w:right="0" w:firstLine="0"/>
        <w:jc w:val="left"/>
      </w:pPr>
      <w:r w:rsidRPr="009F69E7">
        <w:t xml:space="preserve"> </w:t>
      </w:r>
    </w:p>
    <w:p w:rsidR="005618B2" w:rsidRPr="009F69E7" w:rsidRDefault="002B2806" w:rsidP="006F1840">
      <w:pPr>
        <w:spacing w:after="0"/>
        <w:ind w:left="-2" w:right="0"/>
      </w:pPr>
      <w:r w:rsidRPr="009F69E7">
        <w:t xml:space="preserve">The operation of this ISMS has many benefits for the business, including: </w:t>
      </w:r>
    </w:p>
    <w:p w:rsidR="005618B2" w:rsidRPr="009F69E7" w:rsidRDefault="002B2806">
      <w:pPr>
        <w:numPr>
          <w:ilvl w:val="0"/>
          <w:numId w:val="1"/>
        </w:numPr>
        <w:ind w:left="721" w:right="0" w:hanging="360"/>
      </w:pPr>
      <w:r w:rsidRPr="009F69E7">
        <w:t xml:space="preserve">Protection of revenue streams and company profitability </w:t>
      </w:r>
    </w:p>
    <w:p w:rsidR="005618B2" w:rsidRPr="009F69E7" w:rsidRDefault="002B2806">
      <w:pPr>
        <w:numPr>
          <w:ilvl w:val="0"/>
          <w:numId w:val="1"/>
        </w:numPr>
        <w:ind w:left="721" w:right="0" w:hanging="360"/>
      </w:pPr>
      <w:r w:rsidRPr="009F69E7">
        <w:t xml:space="preserve">Ensuring the supply of goods and services to customers </w:t>
      </w:r>
    </w:p>
    <w:p w:rsidR="005618B2" w:rsidRPr="009F69E7" w:rsidRDefault="002B2806">
      <w:pPr>
        <w:numPr>
          <w:ilvl w:val="0"/>
          <w:numId w:val="1"/>
        </w:numPr>
        <w:ind w:left="721" w:right="0" w:hanging="360"/>
      </w:pPr>
      <w:r w:rsidRPr="009F69E7">
        <w:t xml:space="preserve">Compliance with legal and regulatory requirements </w:t>
      </w:r>
    </w:p>
    <w:p w:rsidR="005618B2" w:rsidRPr="009F69E7" w:rsidRDefault="002B2806">
      <w:pPr>
        <w:numPr>
          <w:ilvl w:val="0"/>
          <w:numId w:val="1"/>
        </w:numPr>
        <w:ind w:left="721" w:right="0" w:hanging="360"/>
      </w:pPr>
      <w:r w:rsidRPr="009F69E7">
        <w:t xml:space="preserve">Monitoring effectiveness of ISMS allowing continual improvement  </w:t>
      </w:r>
    </w:p>
    <w:p w:rsidR="005618B2" w:rsidRPr="009F69E7" w:rsidRDefault="002B2806">
      <w:pPr>
        <w:spacing w:after="0" w:line="259" w:lineRule="auto"/>
        <w:ind w:left="2" w:right="0" w:firstLine="0"/>
        <w:jc w:val="left"/>
      </w:pPr>
      <w:r w:rsidRPr="009F69E7">
        <w:t xml:space="preserve"> </w:t>
      </w:r>
    </w:p>
    <w:p w:rsidR="005618B2" w:rsidRPr="009F69E7" w:rsidRDefault="002B2806">
      <w:pPr>
        <w:ind w:left="-2" w:right="0"/>
      </w:pPr>
      <w:r w:rsidRPr="009F69E7">
        <w:t xml:space="preserve">An ISMS Policy is available in both paper and electronic form and will be communicated within the Organisation and to all relevant stakeholders and interested third parties. </w:t>
      </w:r>
    </w:p>
    <w:p w:rsidR="005618B2" w:rsidRPr="009F69E7" w:rsidRDefault="002B2806">
      <w:pPr>
        <w:spacing w:after="0" w:line="259" w:lineRule="auto"/>
        <w:ind w:left="2" w:right="0" w:firstLine="0"/>
        <w:jc w:val="left"/>
      </w:pPr>
      <w:r w:rsidRPr="009F69E7">
        <w:t xml:space="preserve"> </w:t>
      </w:r>
    </w:p>
    <w:p w:rsidR="005618B2" w:rsidRPr="009F69E7" w:rsidRDefault="002B2806">
      <w:pPr>
        <w:ind w:left="-2" w:right="0"/>
      </w:pPr>
      <w:r w:rsidRPr="009F69E7">
        <w:t>Commitment to the delivery of information security extends to senior levels of the Organisation and will be demonstrated through the information security policy and the provision of appropriate re</w:t>
      </w:r>
      <w:r w:rsidR="00A229E1">
        <w:t>sources to support</w:t>
      </w:r>
      <w:r w:rsidRPr="009F69E7">
        <w:t xml:space="preserve"> the ISMS. </w:t>
      </w:r>
    </w:p>
    <w:p w:rsidR="005618B2" w:rsidRPr="009F69E7" w:rsidRDefault="002B2806">
      <w:pPr>
        <w:spacing w:after="0" w:line="259" w:lineRule="auto"/>
        <w:ind w:left="2" w:right="0" w:firstLine="0"/>
        <w:jc w:val="left"/>
      </w:pPr>
      <w:r w:rsidRPr="009F69E7">
        <w:t xml:space="preserve"> </w:t>
      </w:r>
    </w:p>
    <w:p w:rsidR="005618B2" w:rsidRPr="009F69E7" w:rsidRDefault="00A229E1">
      <w:pPr>
        <w:ind w:left="-2" w:right="0"/>
      </w:pPr>
      <w:r>
        <w:t>Top management</w:t>
      </w:r>
      <w:r w:rsidR="002B2806" w:rsidRPr="009F69E7">
        <w:t xml:space="preserve"> also ensure</w:t>
      </w:r>
      <w:r>
        <w:t>s</w:t>
      </w:r>
      <w:r w:rsidR="002B2806" w:rsidRPr="009F69E7">
        <w:t xml:space="preserve"> that a systematic review of performance of the programme is conducted on a regular basis to ensure that information security objectives are being met and relevant issues are identified through the audit programme and management processes.  </w:t>
      </w:r>
    </w:p>
    <w:p w:rsidR="005618B2" w:rsidRPr="009F69E7" w:rsidRDefault="002B2806">
      <w:pPr>
        <w:spacing w:after="0" w:line="259" w:lineRule="auto"/>
        <w:ind w:left="2" w:right="0" w:firstLine="0"/>
        <w:jc w:val="left"/>
      </w:pPr>
      <w:r w:rsidRPr="009F69E7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9961879</wp:posOffset>
                </wp:positionV>
                <wp:extent cx="5711190" cy="9525"/>
                <wp:effectExtent l="0" t="0" r="0" b="0"/>
                <wp:wrapTopAndBottom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190" cy="9525"/>
                          <a:chOff x="0" y="0"/>
                          <a:chExt cx="5711190" cy="952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7111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190">
                                <a:moveTo>
                                  <a:pt x="0" y="0"/>
                                </a:moveTo>
                                <a:lnTo>
                                  <a:pt x="57111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2" style="width:449.7pt;height:0.75pt;position:absolute;mso-position-horizontal-relative:page;mso-position-horizontal:absolute;margin-left:72pt;mso-position-vertical-relative:page;margin-top:784.4pt;" coordsize="57111,95">
                <v:shape id="Shape 26" style="position:absolute;width:57111;height:0;left:0;top:0;" coordsize="5711190,0" path="m0,0l571119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9F69E7">
        <w:t xml:space="preserve"> </w:t>
      </w:r>
    </w:p>
    <w:p w:rsidR="005618B2" w:rsidRPr="009F69E7" w:rsidRDefault="002B2806" w:rsidP="006F1840">
      <w:pPr>
        <w:ind w:left="-2" w:right="0"/>
      </w:pPr>
      <w:r w:rsidRPr="009F69E7">
        <w:t>A risk managem</w:t>
      </w:r>
      <w:r w:rsidR="00A229E1">
        <w:t>ent approach and process is</w:t>
      </w:r>
      <w:r w:rsidRPr="009F69E7">
        <w:t xml:space="preserve"> used which is</w:t>
      </w:r>
      <w:r w:rsidR="00A229E1">
        <w:t xml:space="preserve"> in</w:t>
      </w:r>
      <w:r w:rsidRPr="009F69E7">
        <w:t xml:space="preserve"> line with the requirements and recommendations of ISO</w:t>
      </w:r>
      <w:r w:rsidR="00A229E1">
        <w:t>/IEC 27001. Risk management</w:t>
      </w:r>
      <w:r w:rsidRPr="009F69E7">
        <w:t xml:space="preserve"> take</w:t>
      </w:r>
      <w:r w:rsidR="00A229E1">
        <w:t>s</w:t>
      </w:r>
      <w:r w:rsidRPr="009F69E7">
        <w:t xml:space="preserve"> place at several levels within the ISMS, including: </w:t>
      </w:r>
    </w:p>
    <w:p w:rsidR="005618B2" w:rsidRPr="009F69E7" w:rsidRDefault="002B2806">
      <w:pPr>
        <w:numPr>
          <w:ilvl w:val="0"/>
          <w:numId w:val="2"/>
        </w:numPr>
        <w:ind w:right="0" w:hanging="360"/>
      </w:pPr>
      <w:r w:rsidRPr="009F69E7">
        <w:t xml:space="preserve">Assessment of risks to the achievement of our information security objectives </w:t>
      </w:r>
    </w:p>
    <w:p w:rsidR="005618B2" w:rsidRPr="009F69E7" w:rsidRDefault="002B2806">
      <w:pPr>
        <w:numPr>
          <w:ilvl w:val="0"/>
          <w:numId w:val="2"/>
        </w:numPr>
        <w:ind w:right="0" w:hanging="360"/>
      </w:pPr>
      <w:r w:rsidRPr="009F69E7">
        <w:t xml:space="preserve">Regular information security risk assessments within specific operational areas </w:t>
      </w:r>
    </w:p>
    <w:p w:rsidR="005618B2" w:rsidRPr="009F69E7" w:rsidRDefault="002B2806">
      <w:pPr>
        <w:numPr>
          <w:ilvl w:val="0"/>
          <w:numId w:val="2"/>
        </w:numPr>
        <w:ind w:right="0" w:hanging="360"/>
      </w:pPr>
      <w:r w:rsidRPr="009F69E7">
        <w:t xml:space="preserve">Assessment of risk as part of the business change management process </w:t>
      </w:r>
    </w:p>
    <w:p w:rsidR="005618B2" w:rsidRPr="009F69E7" w:rsidRDefault="002B2806">
      <w:pPr>
        <w:numPr>
          <w:ilvl w:val="0"/>
          <w:numId w:val="2"/>
        </w:numPr>
        <w:ind w:right="0" w:hanging="360"/>
      </w:pPr>
      <w:r w:rsidRPr="009F69E7">
        <w:t xml:space="preserve">At the project level as part of the management of significant change </w:t>
      </w:r>
    </w:p>
    <w:p w:rsidR="005618B2" w:rsidRPr="009F69E7" w:rsidRDefault="002B2806">
      <w:pPr>
        <w:spacing w:after="0" w:line="259" w:lineRule="auto"/>
        <w:ind w:left="2" w:right="0" w:firstLine="0"/>
        <w:jc w:val="left"/>
      </w:pPr>
      <w:r w:rsidRPr="009F69E7">
        <w:t xml:space="preserve"> </w:t>
      </w:r>
    </w:p>
    <w:p w:rsidR="005618B2" w:rsidRPr="009F69E7" w:rsidRDefault="00A229E1">
      <w:pPr>
        <w:ind w:left="-2" w:right="0"/>
      </w:pPr>
      <w:r>
        <w:t>We ensure</w:t>
      </w:r>
      <w:r w:rsidR="002B2806" w:rsidRPr="009F69E7">
        <w:t xml:space="preserve"> all employees and other stakeholders in </w:t>
      </w:r>
      <w:r>
        <w:t>our business</w:t>
      </w:r>
      <w:bookmarkStart w:id="0" w:name="_GoBack"/>
      <w:bookmarkEnd w:id="0"/>
      <w:r w:rsidR="002B2806" w:rsidRPr="009F69E7">
        <w:t xml:space="preserve"> play their part in delivering our information security objectives. </w:t>
      </w:r>
    </w:p>
    <w:p w:rsidR="005618B2" w:rsidRPr="009F69E7" w:rsidRDefault="002B2806">
      <w:pPr>
        <w:spacing w:after="0" w:line="259" w:lineRule="auto"/>
        <w:ind w:left="3" w:right="0" w:firstLine="0"/>
        <w:jc w:val="left"/>
      </w:pPr>
      <w:r w:rsidRPr="009F69E7">
        <w:t xml:space="preserve"> </w:t>
      </w:r>
    </w:p>
    <w:p w:rsidR="005618B2" w:rsidRDefault="002B2806" w:rsidP="009F69E7">
      <w:pPr>
        <w:ind w:left="-2" w:right="0"/>
      </w:pPr>
      <w:r w:rsidRPr="009F69E7">
        <w:t xml:space="preserve">Yours sincerely </w:t>
      </w:r>
    </w:p>
    <w:p w:rsidR="005618B2" w:rsidRDefault="002B2806" w:rsidP="009F69E7">
      <w:pPr>
        <w:spacing w:after="0" w:line="259" w:lineRule="auto"/>
        <w:ind w:left="1" w:right="0" w:firstLine="0"/>
        <w:jc w:val="left"/>
      </w:pPr>
      <w:r>
        <w:rPr>
          <w:noProof/>
        </w:rPr>
        <w:drawing>
          <wp:inline distT="0" distB="0" distL="0" distR="0">
            <wp:extent cx="792480" cy="487680"/>
            <wp:effectExtent l="0" t="0" r="0" b="0"/>
            <wp:docPr id="1210" name="Picture 1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1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8B2" w:rsidRDefault="002B2806" w:rsidP="009F69E7">
      <w:pPr>
        <w:spacing w:after="0" w:line="259" w:lineRule="auto"/>
        <w:ind w:right="0"/>
        <w:jc w:val="left"/>
      </w:pPr>
      <w:r>
        <w:t xml:space="preserve">John Yarham  </w:t>
      </w:r>
      <w:r>
        <w:tab/>
        <w:t xml:space="preserve"> </w:t>
      </w:r>
      <w:r>
        <w:tab/>
        <w:t xml:space="preserve"> </w:t>
      </w:r>
    </w:p>
    <w:p w:rsidR="005618B2" w:rsidRDefault="00E133CB" w:rsidP="00E133CB">
      <w:pPr>
        <w:tabs>
          <w:tab w:val="center" w:pos="2161"/>
          <w:tab w:val="center" w:pos="2881"/>
        </w:tabs>
        <w:spacing w:after="0"/>
        <w:ind w:left="-12" w:right="0" w:firstLine="0"/>
        <w:jc w:val="left"/>
      </w:pPr>
      <w:r>
        <w:t xml:space="preserve">Chief Executive </w:t>
      </w:r>
    </w:p>
    <w:sectPr w:rsidR="00561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440" w:right="1435" w:bottom="1440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E7" w:rsidRDefault="009F69E7" w:rsidP="009F69E7">
      <w:pPr>
        <w:spacing w:after="0" w:line="240" w:lineRule="auto"/>
      </w:pPr>
      <w:r>
        <w:separator/>
      </w:r>
    </w:p>
  </w:endnote>
  <w:endnote w:type="continuationSeparator" w:id="0">
    <w:p w:rsidR="009F69E7" w:rsidRDefault="009F69E7" w:rsidP="009F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E7" w:rsidRDefault="009F69E7" w:rsidP="009F69E7">
      <w:pPr>
        <w:spacing w:after="0" w:line="240" w:lineRule="auto"/>
      </w:pPr>
      <w:r>
        <w:separator/>
      </w:r>
    </w:p>
  </w:footnote>
  <w:footnote w:type="continuationSeparator" w:id="0">
    <w:p w:rsidR="009F69E7" w:rsidRDefault="009F69E7" w:rsidP="009F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7" w:rsidRDefault="009F6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815"/>
    <w:multiLevelType w:val="hybridMultilevel"/>
    <w:tmpl w:val="748A2D28"/>
    <w:lvl w:ilvl="0" w:tplc="AC106E2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0870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CAB9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82EDC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6DB2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C20F0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6CEB0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2730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A8E1C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C29A4"/>
    <w:multiLevelType w:val="hybridMultilevel"/>
    <w:tmpl w:val="65CE2B38"/>
    <w:lvl w:ilvl="0" w:tplc="7434672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0C0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2504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008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4AC5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211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08F7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D6647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080D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2"/>
    <w:rsid w:val="00221FCC"/>
    <w:rsid w:val="002B2806"/>
    <w:rsid w:val="005618B2"/>
    <w:rsid w:val="006F1840"/>
    <w:rsid w:val="008563AE"/>
    <w:rsid w:val="009F69E7"/>
    <w:rsid w:val="00A229E1"/>
    <w:rsid w:val="00D763D7"/>
    <w:rsid w:val="00E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242C"/>
  <w15:docId w15:val="{7712FE00-3B5E-4D05-813B-2558914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" w:right="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9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E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E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ISMS-DOC-05-3 ISMS Policy Statement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ISMS-DOC-05-3 ISMS Policy Statement</dc:title>
  <dc:subject/>
  <dc:creator>John.Pridgeon@diversing.com</dc:creator>
  <cp:keywords/>
  <cp:lastModifiedBy>Annette Temple</cp:lastModifiedBy>
  <cp:revision>3</cp:revision>
  <dcterms:created xsi:type="dcterms:W3CDTF">2019-01-03T08:42:00Z</dcterms:created>
  <dcterms:modified xsi:type="dcterms:W3CDTF">2019-01-03T08:46:00Z</dcterms:modified>
</cp:coreProperties>
</file>